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4AB3C2BC" w:rsidP="422017DA" w:rsidRDefault="4AB3C2BC" w14:paraId="4DB26A17" w14:textId="74F78DD7">
      <w:pPr>
        <w:jc w:val="both"/>
      </w:pPr>
      <w:r w:rsidRPr="422017DA" w:rsidR="4AB3C2BC">
        <w:rPr>
          <w:rFonts w:ascii="Calibri" w:hAnsi="Calibri" w:eastAsia="Calibri" w:cs="Calibri"/>
          <w:b w:val="1"/>
          <w:bCs w:val="1"/>
          <w:noProof w:val="0"/>
          <w:color w:val="345A8A"/>
          <w:sz w:val="32"/>
          <w:szCs w:val="32"/>
          <w:lang w:val="en-US"/>
        </w:rPr>
        <w:t>Annex 2. Indicative Outline of ESIA Report</w:t>
      </w:r>
    </w:p>
    <w:p w:rsidR="4AB3C2BC" w:rsidP="422017DA" w:rsidRDefault="4AB3C2BC" w14:paraId="058043D7" w14:textId="39EE3A15">
      <w:pPr>
        <w:jc w:val="both"/>
      </w:pPr>
      <w:r w:rsidRPr="7067EFE9" w:rsidR="4AB3C2BC">
        <w:rPr>
          <w:rFonts w:ascii="Calibri" w:hAnsi="Calibri" w:eastAsia="Calibri" w:cs="Calibri"/>
          <w:noProof w:val="0"/>
          <w:color w:val="000000" w:themeColor="text1" w:themeTint="FF" w:themeShade="FF"/>
          <w:sz w:val="20"/>
          <w:szCs w:val="20"/>
          <w:lang w:val="en-US"/>
        </w:rPr>
        <w:t xml:space="preserve">An ESIA report should include the following major elements (not necessarily in the following order): </w:t>
      </w:r>
    </w:p>
    <w:p w:rsidR="4AB3C2BC" w:rsidP="422017DA" w:rsidRDefault="4AB3C2BC" w14:paraId="6A784D69" w14:textId="2D95D7EB">
      <w:pPr>
        <w:jc w:val="both"/>
      </w:pPr>
      <w:r w:rsidRPr="7067EFE9" w:rsidR="4AB3C2BC">
        <w:rPr>
          <w:rFonts w:ascii="Calibri" w:hAnsi="Calibri" w:eastAsia="Calibri" w:cs="Calibri"/>
          <w:b w:val="1"/>
          <w:bCs w:val="1"/>
          <w:noProof w:val="0"/>
          <w:color w:val="000000" w:themeColor="text1" w:themeTint="FF" w:themeShade="FF"/>
          <w:sz w:val="20"/>
          <w:szCs w:val="20"/>
          <w:lang w:val="en-US"/>
        </w:rPr>
        <w:t xml:space="preserve">(1) Executive summary: </w:t>
      </w:r>
      <w:r w:rsidRPr="7067EFE9" w:rsidR="4AB3C2BC">
        <w:rPr>
          <w:rFonts w:ascii="Calibri" w:hAnsi="Calibri" w:eastAsia="Calibri" w:cs="Calibri"/>
          <w:noProof w:val="0"/>
          <w:color w:val="000000" w:themeColor="text1" w:themeTint="FF" w:themeShade="FF"/>
          <w:sz w:val="20"/>
          <w:szCs w:val="20"/>
          <w:lang w:val="en-US"/>
        </w:rPr>
        <w:t>Concisely discusses significant findings and recommended actions.</w:t>
      </w:r>
    </w:p>
    <w:p w:rsidR="4AB3C2BC" w:rsidP="422017DA" w:rsidRDefault="4AB3C2BC" w14:paraId="24B45F72" w14:textId="119E455C">
      <w:pPr>
        <w:jc w:val="both"/>
      </w:pPr>
      <w:r w:rsidRPr="422017DA" w:rsidR="4AB3C2BC">
        <w:rPr>
          <w:rFonts w:ascii="Calibri" w:hAnsi="Calibri" w:eastAsia="Calibri" w:cs="Calibri"/>
          <w:b w:val="1"/>
          <w:bCs w:val="1"/>
          <w:noProof w:val="0"/>
          <w:color w:val="000000" w:themeColor="text1" w:themeTint="FF" w:themeShade="FF"/>
          <w:sz w:val="20"/>
          <w:szCs w:val="20"/>
          <w:lang w:val="en-US"/>
        </w:rPr>
        <w:t xml:space="preserve">(2) Legal and institutional framework: </w:t>
      </w:r>
      <w:r w:rsidRPr="422017DA" w:rsidR="4AB3C2BC">
        <w:rPr>
          <w:rFonts w:ascii="Calibri" w:hAnsi="Calibri" w:eastAsia="Calibri" w:cs="Calibri"/>
          <w:noProof w:val="0"/>
          <w:color w:val="000000" w:themeColor="text1" w:themeTint="FF" w:themeShade="FF"/>
          <w:sz w:val="20"/>
          <w:szCs w:val="20"/>
          <w:lang w:val="en-US"/>
        </w:rPr>
        <w:t>Summarizes the analysis of the legal and institutional framework for the project, within which the social and environmental assessment is carried out, including (a) the country's applicable policy framework, national laws and regulations, and institutional capabilities (including implementation) relating to social and environmental issues; obligations of the country directly applicable to the project under relevant international treaties and agreements; (b) applicable requirements under UNDP’s SES; and (c) and other relevant social and environmental standards and/or requirements, including those of any other donors and development partners. Compares the existing social and environmental framework and applicable requirements of UNDP’s SES (and those of other donors/development partners) and identifies any potential gaps that will need to be addressed.</w:t>
      </w:r>
    </w:p>
    <w:p w:rsidR="4AB3C2BC" w:rsidP="422017DA" w:rsidRDefault="4AB3C2BC" w14:paraId="538C9372" w14:textId="28D49916">
      <w:pPr>
        <w:jc w:val="both"/>
      </w:pPr>
      <w:r w:rsidRPr="422017DA" w:rsidR="4AB3C2BC">
        <w:rPr>
          <w:rFonts w:ascii="Calibri" w:hAnsi="Calibri" w:eastAsia="Calibri" w:cs="Calibri"/>
          <w:b w:val="1"/>
          <w:bCs w:val="1"/>
          <w:noProof w:val="0"/>
          <w:color w:val="000000" w:themeColor="text1" w:themeTint="FF" w:themeShade="FF"/>
          <w:sz w:val="20"/>
          <w:szCs w:val="20"/>
          <w:lang w:val="en-US"/>
        </w:rPr>
        <w:t xml:space="preserve">(3) Project description: </w:t>
      </w:r>
      <w:r w:rsidRPr="422017DA" w:rsidR="4AB3C2BC">
        <w:rPr>
          <w:rFonts w:ascii="Calibri" w:hAnsi="Calibri" w:eastAsia="Calibri" w:cs="Calibri"/>
          <w:noProof w:val="0"/>
          <w:color w:val="000000" w:themeColor="text1" w:themeTint="FF" w:themeShade="FF"/>
          <w:sz w:val="20"/>
          <w:szCs w:val="20"/>
          <w:lang w:val="en-US"/>
        </w:rPr>
        <w:t>Concisely describes the proposed project and its geographic, social, environmental, and temporal context, including any offsite activities that may be required (e.g., dedicated pipelines, access roads, power supply, water supply, housing, and raw material and product storage facilities), as well as the project’s primary supply chain. Includes a map of sufficient detail, showing the project site and the area that may be affected by the project’s direct, indirect, and cumulative impacts. (</w:t>
      </w:r>
      <w:proofErr w:type="gramStart"/>
      <w:r w:rsidRPr="422017DA" w:rsidR="4AB3C2BC">
        <w:rPr>
          <w:rFonts w:ascii="Calibri" w:hAnsi="Calibri" w:eastAsia="Calibri" w:cs="Calibri"/>
          <w:noProof w:val="0"/>
          <w:color w:val="000000" w:themeColor="text1" w:themeTint="FF" w:themeShade="FF"/>
          <w:sz w:val="20"/>
          <w:szCs w:val="20"/>
          <w:lang w:val="en-US"/>
        </w:rPr>
        <w:t>i.e.</w:t>
      </w:r>
      <w:proofErr w:type="gramEnd"/>
      <w:r w:rsidRPr="422017DA" w:rsidR="4AB3C2BC">
        <w:rPr>
          <w:rFonts w:ascii="Calibri" w:hAnsi="Calibri" w:eastAsia="Calibri" w:cs="Calibri"/>
          <w:noProof w:val="0"/>
          <w:color w:val="000000" w:themeColor="text1" w:themeTint="FF" w:themeShade="FF"/>
          <w:sz w:val="20"/>
          <w:szCs w:val="20"/>
          <w:lang w:val="en-US"/>
        </w:rPr>
        <w:t xml:space="preserve"> area of influence).</w:t>
      </w:r>
    </w:p>
    <w:p w:rsidR="4AB3C2BC" w:rsidP="422017DA" w:rsidRDefault="4AB3C2BC" w14:paraId="3C57D028" w14:textId="3853C445">
      <w:pPr>
        <w:jc w:val="both"/>
      </w:pPr>
      <w:r w:rsidRPr="422017DA" w:rsidR="4AB3C2BC">
        <w:rPr>
          <w:rFonts w:ascii="Calibri" w:hAnsi="Calibri" w:eastAsia="Calibri" w:cs="Calibri"/>
          <w:b w:val="1"/>
          <w:bCs w:val="1"/>
          <w:noProof w:val="0"/>
          <w:color w:val="000000" w:themeColor="text1" w:themeTint="FF" w:themeShade="FF"/>
          <w:sz w:val="20"/>
          <w:szCs w:val="20"/>
          <w:lang w:val="en-US"/>
        </w:rPr>
        <w:t xml:space="preserve">(4) Baseline data: </w:t>
      </w:r>
      <w:r w:rsidRPr="422017DA" w:rsidR="4AB3C2BC">
        <w:rPr>
          <w:rFonts w:ascii="Calibri" w:hAnsi="Calibri" w:eastAsia="Calibri" w:cs="Calibri"/>
          <w:noProof w:val="0"/>
          <w:color w:val="000000" w:themeColor="text1" w:themeTint="FF" w:themeShade="FF"/>
          <w:sz w:val="20"/>
          <w:szCs w:val="20"/>
          <w:lang w:val="en-US"/>
        </w:rPr>
        <w:t>Summarizes the baseline data that is relevant to decisions about project location, design, operation, or mitigation measures; identifies and estimates the extent and quality of available data, key data gaps, and uncertainties associated with predictions; assesses the scope of the area to be studied and describes relevant physical, biological, and socioeconomic conditions, including any changes anticipated before the project commences; and takes into account current and proposed development activities within the project area but not directly connected to the project.</w:t>
      </w:r>
    </w:p>
    <w:p w:rsidR="4AB3C2BC" w:rsidP="422017DA" w:rsidRDefault="4AB3C2BC" w14:paraId="0E402CA2" w14:textId="22A90411">
      <w:pPr>
        <w:jc w:val="both"/>
      </w:pPr>
      <w:r w:rsidRPr="422017DA" w:rsidR="4AB3C2BC">
        <w:rPr>
          <w:rFonts w:ascii="Calibri" w:hAnsi="Calibri" w:eastAsia="Calibri" w:cs="Calibri"/>
          <w:b w:val="1"/>
          <w:bCs w:val="1"/>
          <w:noProof w:val="0"/>
          <w:color w:val="000000" w:themeColor="text1" w:themeTint="FF" w:themeShade="FF"/>
          <w:sz w:val="20"/>
          <w:szCs w:val="20"/>
          <w:lang w:val="en-US"/>
        </w:rPr>
        <w:t xml:space="preserve">(5) Social and environmental risks and impacts: </w:t>
      </w:r>
      <w:r w:rsidRPr="422017DA" w:rsidR="4AB3C2BC">
        <w:rPr>
          <w:rFonts w:ascii="Calibri" w:hAnsi="Calibri" w:eastAsia="Calibri" w:cs="Calibri"/>
          <w:noProof w:val="0"/>
          <w:color w:val="000000" w:themeColor="text1" w:themeTint="FF" w:themeShade="FF"/>
          <w:sz w:val="20"/>
          <w:szCs w:val="20"/>
          <w:lang w:val="en-US"/>
        </w:rPr>
        <w:t xml:space="preserve">Predicts and </w:t>
      </w:r>
      <w:proofErr w:type="gramStart"/>
      <w:r w:rsidRPr="422017DA" w:rsidR="4AB3C2BC">
        <w:rPr>
          <w:rFonts w:ascii="Calibri" w:hAnsi="Calibri" w:eastAsia="Calibri" w:cs="Calibri"/>
          <w:noProof w:val="0"/>
          <w:color w:val="000000" w:themeColor="text1" w:themeTint="FF" w:themeShade="FF"/>
          <w:sz w:val="20"/>
          <w:szCs w:val="20"/>
          <w:lang w:val="en-US"/>
        </w:rPr>
        <w:t>takes into account</w:t>
      </w:r>
      <w:proofErr w:type="gramEnd"/>
      <w:r w:rsidRPr="422017DA" w:rsidR="4AB3C2BC">
        <w:rPr>
          <w:rFonts w:ascii="Calibri" w:hAnsi="Calibri" w:eastAsia="Calibri" w:cs="Calibri"/>
          <w:noProof w:val="0"/>
          <w:color w:val="000000" w:themeColor="text1" w:themeTint="FF" w:themeShade="FF"/>
          <w:sz w:val="20"/>
          <w:szCs w:val="20"/>
          <w:lang w:val="en-US"/>
        </w:rPr>
        <w:t xml:space="preserve"> all relevant social and environmental risks and impacts of the project, including those related to UNDP’s SES (Overarching Policy and Principles and Project-level Standards). These will include, but are not limited to, the following:</w:t>
      </w:r>
    </w:p>
    <w:p w:rsidR="4AB3C2BC" w:rsidP="422017DA" w:rsidRDefault="4AB3C2BC" w14:paraId="12EC1B30" w14:textId="3F1283CC">
      <w:pPr>
        <w:jc w:val="both"/>
      </w:pPr>
      <w:r w:rsidRPr="422017DA" w:rsidR="4AB3C2BC">
        <w:rPr>
          <w:rFonts w:ascii="Calibri" w:hAnsi="Calibri" w:eastAsia="Calibri" w:cs="Calibri"/>
          <w:i w:val="1"/>
          <w:iCs w:val="1"/>
          <w:noProof w:val="0"/>
          <w:color w:val="000000" w:themeColor="text1" w:themeTint="FF" w:themeShade="FF"/>
          <w:sz w:val="20"/>
          <w:szCs w:val="20"/>
          <w:lang w:val="en-US"/>
        </w:rPr>
        <w:t>(a) Environmental risks and impacts</w:t>
      </w:r>
      <w:r w:rsidRPr="422017DA" w:rsidR="4AB3C2BC">
        <w:rPr>
          <w:rFonts w:ascii="Calibri" w:hAnsi="Calibri" w:eastAsia="Calibri" w:cs="Calibri"/>
          <w:noProof w:val="0"/>
          <w:color w:val="000000" w:themeColor="text1" w:themeTint="FF" w:themeShade="FF"/>
          <w:sz w:val="20"/>
          <w:szCs w:val="20"/>
          <w:lang w:val="en-US"/>
        </w:rPr>
        <w:t>, including: any material threat to the protection, conservation, maintenance and rehabilitation of natural habitats, biodiversity, and ecosystems; those related to climate change and other transboundary or global impacts; those related to community health and safety; those related to pollution and discharges of waste; those related to the use of living natural resources, such as fisheries and forests; and those related to other applicable standards.</w:t>
      </w:r>
      <w:r w:rsidRPr="422017DA" w:rsidR="4AB3C2BC">
        <w:rPr>
          <w:rFonts w:ascii="Calibri" w:hAnsi="Calibri" w:eastAsia="Calibri" w:cs="Calibri"/>
          <w:noProof w:val="0"/>
          <w:color w:val="000000" w:themeColor="text1" w:themeTint="FF" w:themeShade="FF"/>
          <w:sz w:val="12"/>
          <w:szCs w:val="12"/>
          <w:vertAlign w:val="superscript"/>
          <w:lang w:val="en-US"/>
        </w:rPr>
        <w:t>19</w:t>
      </w:r>
    </w:p>
    <w:p w:rsidR="4AB3C2BC" w:rsidP="422017DA" w:rsidRDefault="4AB3C2BC" w14:paraId="7795A70E" w14:textId="7D0B8FD3">
      <w:pPr>
        <w:jc w:val="both"/>
      </w:pPr>
      <w:r w:rsidRPr="422017DA" w:rsidR="4AB3C2BC">
        <w:rPr>
          <w:rFonts w:ascii="Calibri" w:hAnsi="Calibri" w:eastAsia="Calibri" w:cs="Calibri"/>
          <w:i w:val="1"/>
          <w:iCs w:val="1"/>
          <w:noProof w:val="0"/>
          <w:color w:val="000000" w:themeColor="text1" w:themeTint="FF" w:themeShade="FF"/>
          <w:sz w:val="20"/>
          <w:szCs w:val="20"/>
          <w:lang w:val="en-US"/>
        </w:rPr>
        <w:t>(b) Social risks and impacts</w:t>
      </w:r>
      <w:r w:rsidRPr="422017DA" w:rsidR="4AB3C2BC">
        <w:rPr>
          <w:rFonts w:ascii="Calibri" w:hAnsi="Calibri" w:eastAsia="Calibri" w:cs="Calibri"/>
          <w:noProof w:val="0"/>
          <w:color w:val="000000" w:themeColor="text1" w:themeTint="FF" w:themeShade="FF"/>
          <w:sz w:val="20"/>
          <w:szCs w:val="20"/>
          <w:lang w:val="en-US"/>
        </w:rPr>
        <w:t>, including: any project-related threats to human rights of affected communities and individuals; threats to human security through the escalation of personal, communal or inter-state conflict, crime or violence; risks of gender discrimination; risks that adverse project impacts fall disproportionately on disadvantaged or marginalized groups; any prejudice or discrimination toward individuals or groups in providing access to development resources and project benefits, particularly in the case of disadvantaged or marginalized groups; negative economic and social impacts relating to physical displacement (i.e. relocation or loss of shelter) or economic displacement (i.e. loss of assets or</w:t>
      </w:r>
    </w:p>
    <w:p w:rsidR="4AB3C2BC" w:rsidP="422017DA" w:rsidRDefault="4AB3C2BC" w14:paraId="160926AB" w14:textId="6BE8E772">
      <w:pPr>
        <w:jc w:val="both"/>
      </w:pPr>
      <w:r w:rsidRPr="422017DA" w:rsidR="4AB3C2BC">
        <w:rPr>
          <w:rFonts w:ascii="Calibri" w:hAnsi="Calibri" w:eastAsia="Calibri" w:cs="Calibri"/>
          <w:noProof w:val="0"/>
          <w:color w:val="000000" w:themeColor="text1" w:themeTint="FF" w:themeShade="FF"/>
          <w:sz w:val="12"/>
          <w:szCs w:val="12"/>
          <w:vertAlign w:val="superscript"/>
          <w:lang w:val="en-US"/>
        </w:rPr>
        <w:t xml:space="preserve">19 </w:t>
      </w:r>
      <w:r w:rsidRPr="422017DA" w:rsidR="4AB3C2BC">
        <w:rPr>
          <w:rFonts w:ascii="Calibri" w:hAnsi="Calibri" w:eastAsia="Calibri" w:cs="Calibri"/>
          <w:noProof w:val="0"/>
          <w:color w:val="000000" w:themeColor="text1" w:themeTint="FF" w:themeShade="FF"/>
          <w:sz w:val="18"/>
          <w:szCs w:val="18"/>
          <w:lang w:val="en-US"/>
        </w:rPr>
        <w:t xml:space="preserve">For example, the Environmental, Health, and Safety Guidelines (EHSGs), which are technical reference documents with general and industry-specific statements of Good International Industry Practice. The EHSGs contain information on industry- specific risks and impacts and the performance levels and measures that are generally considered to be achievable in new facilities by existing technology at reasonable cost. Available at </w:t>
      </w:r>
      <w:hyperlink>
        <w:r w:rsidRPr="422017DA" w:rsidR="4AB3C2BC">
          <w:rPr>
            <w:rStyle w:val="Hyperlink"/>
            <w:rFonts w:ascii="Calibri" w:hAnsi="Calibri" w:eastAsia="Calibri" w:cs="Calibri"/>
            <w:noProof w:val="0"/>
            <w:sz w:val="18"/>
            <w:szCs w:val="18"/>
            <w:lang w:val="en-US"/>
          </w:rPr>
          <w:t>www.ifc.org/ehsguidelines</w:t>
        </w:r>
      </w:hyperlink>
      <w:r w:rsidRPr="422017DA" w:rsidR="4AB3C2BC">
        <w:rPr>
          <w:rFonts w:ascii="Calibri" w:hAnsi="Calibri" w:eastAsia="Calibri" w:cs="Calibri"/>
          <w:noProof w:val="0"/>
          <w:color w:val="000000" w:themeColor="text1" w:themeTint="FF" w:themeShade="FF"/>
          <w:sz w:val="18"/>
          <w:szCs w:val="18"/>
          <w:lang w:val="en-US"/>
        </w:rPr>
        <w:t>.</w:t>
      </w:r>
    </w:p>
    <w:p w:rsidR="4AB3C2BC" w:rsidP="422017DA" w:rsidRDefault="4AB3C2BC" w14:paraId="17351694" w14:textId="2548DBF3">
      <w:pPr>
        <w:jc w:val="both"/>
      </w:pPr>
      <w:r w:rsidRPr="422017DA" w:rsidR="4AB3C2BC">
        <w:rPr>
          <w:rFonts w:ascii="Calibri Light" w:hAnsi="Calibri Light" w:eastAsia="Calibri Light" w:cs="Calibri Light"/>
          <w:noProof w:val="0"/>
          <w:color w:val="000000" w:themeColor="text1" w:themeTint="FF" w:themeShade="FF"/>
          <w:sz w:val="20"/>
          <w:szCs w:val="20"/>
          <w:lang w:val="en-US"/>
        </w:rPr>
        <w:t xml:space="preserve"> </w:t>
      </w:r>
    </w:p>
    <w:p w:rsidR="4AB3C2BC" w:rsidP="422017DA" w:rsidRDefault="4AB3C2BC" w14:paraId="3F54557D" w14:textId="3C5AE143">
      <w:pPr>
        <w:jc w:val="both"/>
      </w:pPr>
      <w:r w:rsidRPr="422017DA" w:rsidR="4AB3C2BC">
        <w:rPr>
          <w:rFonts w:ascii="Calibri" w:hAnsi="Calibri" w:eastAsia="Calibri" w:cs="Calibri"/>
          <w:noProof w:val="0"/>
          <w:color w:val="000000" w:themeColor="text1" w:themeTint="FF" w:themeShade="FF"/>
          <w:sz w:val="20"/>
          <w:szCs w:val="20"/>
          <w:lang w:val="en-US"/>
        </w:rPr>
        <w:t>33</w:t>
      </w:r>
    </w:p>
    <w:p w:rsidR="4AB3C2BC" w:rsidP="422017DA" w:rsidRDefault="4AB3C2BC" w14:paraId="3BD4BD2C" w14:textId="2CDA4F62">
      <w:pPr>
        <w:jc w:val="both"/>
      </w:pPr>
      <w:r w:rsidRPr="422017DA" w:rsidR="4AB3C2BC">
        <w:rPr>
          <w:rFonts w:ascii="Calibri" w:hAnsi="Calibri" w:eastAsia="Calibri" w:cs="Calibri"/>
          <w:noProof w:val="0"/>
          <w:color w:val="000000" w:themeColor="text1" w:themeTint="FF" w:themeShade="FF"/>
          <w:sz w:val="20"/>
          <w:szCs w:val="20"/>
          <w:lang w:val="en-US"/>
        </w:rPr>
        <w:t>access to assets that leads to loss of income sources or means of livelihood) as a result of project-related land or resource acquisition or restrictions on land use or access to resources; impacts on the health, safety and well-being of workers and project-affected communities; and risks to cultural heritage.</w:t>
      </w:r>
    </w:p>
    <w:p w:rsidR="4AB3C2BC" w:rsidP="422017DA" w:rsidRDefault="4AB3C2BC" w14:paraId="46E5871F" w14:textId="31159260">
      <w:pPr>
        <w:jc w:val="both"/>
      </w:pPr>
      <w:r w:rsidRPr="422017DA" w:rsidR="4AB3C2BC">
        <w:rPr>
          <w:rFonts w:ascii="Calibri" w:hAnsi="Calibri" w:eastAsia="Calibri" w:cs="Calibri"/>
          <w:b w:val="1"/>
          <w:bCs w:val="1"/>
          <w:noProof w:val="0"/>
          <w:color w:val="000000" w:themeColor="text1" w:themeTint="FF" w:themeShade="FF"/>
          <w:sz w:val="20"/>
          <w:szCs w:val="20"/>
          <w:lang w:val="en-US"/>
        </w:rPr>
        <w:t xml:space="preserve">(6) Analysis of alternatives: </w:t>
      </w:r>
      <w:r w:rsidRPr="422017DA" w:rsidR="4AB3C2BC">
        <w:rPr>
          <w:rFonts w:ascii="Calibri" w:hAnsi="Calibri" w:eastAsia="Calibri" w:cs="Calibri"/>
          <w:noProof w:val="0"/>
          <w:color w:val="000000" w:themeColor="text1" w:themeTint="FF" w:themeShade="FF"/>
          <w:sz w:val="20"/>
          <w:szCs w:val="20"/>
          <w:lang w:val="en-US"/>
        </w:rPr>
        <w:t xml:space="preserve">systematically compares feasible alternatives to the proposed project site, technology, design, and operation – including the "without project" situation – in terms of their potential social and environmental impacts; assesses the alternatives’ feasibility of mitigating the adverse social and environmental impacts; the capital and recurrent costs of alternative mitigation measures, and their suitability under local conditions; the institutional, training, and monitoring requirements for the alternative mitigation measures; for each of the alternatives, quantifies the social and environmental impacts to the extent possible, and attaches economic values where feasible. Sets out the basis for selecting the </w:t>
      </w:r>
      <w:proofErr w:type="gramStart"/>
      <w:r w:rsidRPr="422017DA" w:rsidR="4AB3C2BC">
        <w:rPr>
          <w:rFonts w:ascii="Calibri" w:hAnsi="Calibri" w:eastAsia="Calibri" w:cs="Calibri"/>
          <w:noProof w:val="0"/>
          <w:color w:val="000000" w:themeColor="text1" w:themeTint="FF" w:themeShade="FF"/>
          <w:sz w:val="20"/>
          <w:szCs w:val="20"/>
          <w:lang w:val="en-US"/>
        </w:rPr>
        <w:t>particular project</w:t>
      </w:r>
      <w:proofErr w:type="gramEnd"/>
      <w:r w:rsidRPr="422017DA" w:rsidR="4AB3C2BC">
        <w:rPr>
          <w:rFonts w:ascii="Calibri" w:hAnsi="Calibri" w:eastAsia="Calibri" w:cs="Calibri"/>
          <w:noProof w:val="0"/>
          <w:color w:val="000000" w:themeColor="text1" w:themeTint="FF" w:themeShade="FF"/>
          <w:sz w:val="20"/>
          <w:szCs w:val="20"/>
          <w:lang w:val="en-US"/>
        </w:rPr>
        <w:t xml:space="preserve"> design.</w:t>
      </w:r>
    </w:p>
    <w:p w:rsidR="4AB3C2BC" w:rsidP="422017DA" w:rsidRDefault="4AB3C2BC" w14:paraId="31976281" w14:textId="0DAEFCA0">
      <w:pPr>
        <w:jc w:val="both"/>
      </w:pPr>
      <w:r w:rsidRPr="422017DA" w:rsidR="4AB3C2BC">
        <w:rPr>
          <w:rFonts w:ascii="Calibri" w:hAnsi="Calibri" w:eastAsia="Calibri" w:cs="Calibri"/>
          <w:b w:val="1"/>
          <w:bCs w:val="1"/>
          <w:noProof w:val="0"/>
          <w:color w:val="000000" w:themeColor="text1" w:themeTint="FF" w:themeShade="FF"/>
          <w:sz w:val="20"/>
          <w:szCs w:val="20"/>
          <w:lang w:val="en-US"/>
        </w:rPr>
        <w:t xml:space="preserve">(7) Mitigation Measures: </w:t>
      </w:r>
      <w:r w:rsidRPr="422017DA" w:rsidR="4AB3C2BC">
        <w:rPr>
          <w:rFonts w:ascii="Calibri" w:hAnsi="Calibri" w:eastAsia="Calibri" w:cs="Calibri"/>
          <w:noProof w:val="0"/>
          <w:color w:val="000000" w:themeColor="text1" w:themeTint="FF" w:themeShade="FF"/>
          <w:sz w:val="20"/>
          <w:szCs w:val="20"/>
          <w:lang w:val="en-US"/>
        </w:rPr>
        <w:t>Inclusion or summary of (with attachment of full) Environmental and Social Management Plan (ESMP) (see indicative outline of ESMP below.) The ESMP identifies mitigation measures required to address identified social and environmental risks and impacts, as well as measures related to monitoring, capacity development, stakeholder engagement, and implementation action plan.</w:t>
      </w:r>
    </w:p>
    <w:p w:rsidR="4AB3C2BC" w:rsidP="422017DA" w:rsidRDefault="4AB3C2BC" w14:paraId="2EC60163" w14:textId="174DD600">
      <w:pPr>
        <w:jc w:val="both"/>
      </w:pPr>
      <w:r w:rsidRPr="422017DA" w:rsidR="4AB3C2BC">
        <w:rPr>
          <w:rFonts w:ascii="Calibri" w:hAnsi="Calibri" w:eastAsia="Calibri" w:cs="Calibri"/>
          <w:b w:val="1"/>
          <w:bCs w:val="1"/>
          <w:noProof w:val="0"/>
          <w:color w:val="000000" w:themeColor="text1" w:themeTint="FF" w:themeShade="FF"/>
          <w:sz w:val="20"/>
          <w:szCs w:val="20"/>
          <w:lang w:val="en-US"/>
        </w:rPr>
        <w:t xml:space="preserve">(8) Conclusions and Recommendations: </w:t>
      </w:r>
      <w:r w:rsidRPr="422017DA" w:rsidR="4AB3C2BC">
        <w:rPr>
          <w:rFonts w:ascii="Calibri" w:hAnsi="Calibri" w:eastAsia="Calibri" w:cs="Calibri"/>
          <w:noProof w:val="0"/>
          <w:color w:val="000000" w:themeColor="text1" w:themeTint="FF" w:themeShade="FF"/>
          <w:sz w:val="20"/>
          <w:szCs w:val="20"/>
          <w:lang w:val="en-US"/>
        </w:rPr>
        <w:t>Succinctly describes conclusion drawn from the assessment and provides recommendations.</w:t>
      </w:r>
    </w:p>
    <w:p w:rsidR="4AB3C2BC" w:rsidP="422017DA" w:rsidRDefault="4AB3C2BC" w14:paraId="47CC4AA6" w14:textId="79DB7727">
      <w:pPr>
        <w:jc w:val="both"/>
      </w:pPr>
      <w:r w:rsidRPr="422017DA" w:rsidR="4AB3C2BC">
        <w:rPr>
          <w:rFonts w:ascii="Calibri" w:hAnsi="Calibri" w:eastAsia="Calibri" w:cs="Calibri"/>
          <w:b w:val="1"/>
          <w:bCs w:val="1"/>
          <w:noProof w:val="0"/>
          <w:color w:val="000000" w:themeColor="text1" w:themeTint="FF" w:themeShade="FF"/>
          <w:sz w:val="20"/>
          <w:szCs w:val="20"/>
          <w:lang w:val="en-US"/>
        </w:rPr>
        <w:t xml:space="preserve">(9) Appendices: </w:t>
      </w:r>
      <w:r w:rsidRPr="422017DA" w:rsidR="4AB3C2BC">
        <w:rPr>
          <w:rFonts w:ascii="Calibri Light" w:hAnsi="Calibri Light" w:eastAsia="Calibri Light" w:cs="Calibri Light"/>
          <w:noProof w:val="0"/>
          <w:color w:val="000000" w:themeColor="text1" w:themeTint="FF" w:themeShade="FF"/>
          <w:sz w:val="20"/>
          <w:szCs w:val="20"/>
          <w:lang w:val="en-US"/>
        </w:rPr>
        <w:t> </w:t>
      </w:r>
      <w:r w:rsidRPr="422017DA" w:rsidR="4AB3C2BC">
        <w:rPr>
          <w:rFonts w:ascii="Calibri" w:hAnsi="Calibri" w:eastAsia="Calibri" w:cs="Calibri"/>
          <w:noProof w:val="0"/>
          <w:color w:val="000000" w:themeColor="text1" w:themeTint="FF" w:themeShade="FF"/>
          <w:sz w:val="20"/>
          <w:szCs w:val="20"/>
          <w:lang w:val="en-US"/>
        </w:rPr>
        <w:t>(</w:t>
      </w:r>
      <w:proofErr w:type="spellStart"/>
      <w:r w:rsidRPr="422017DA" w:rsidR="4AB3C2BC">
        <w:rPr>
          <w:rFonts w:ascii="Calibri" w:hAnsi="Calibri" w:eastAsia="Calibri" w:cs="Calibri"/>
          <w:noProof w:val="0"/>
          <w:color w:val="000000" w:themeColor="text1" w:themeTint="FF" w:themeShade="FF"/>
          <w:sz w:val="20"/>
          <w:szCs w:val="20"/>
          <w:lang w:val="en-US"/>
        </w:rPr>
        <w:t>i</w:t>
      </w:r>
      <w:proofErr w:type="spellEnd"/>
      <w:r w:rsidRPr="422017DA" w:rsidR="4AB3C2BC">
        <w:rPr>
          <w:rFonts w:ascii="Calibri" w:hAnsi="Calibri" w:eastAsia="Calibri" w:cs="Calibri"/>
          <w:noProof w:val="0"/>
          <w:color w:val="000000" w:themeColor="text1" w:themeTint="FF" w:themeShade="FF"/>
          <w:sz w:val="20"/>
          <w:szCs w:val="20"/>
          <w:lang w:val="en-US"/>
        </w:rPr>
        <w:t xml:space="preserve">) List of the individuals or </w:t>
      </w:r>
      <w:proofErr w:type="spellStart"/>
      <w:r w:rsidRPr="422017DA" w:rsidR="4AB3C2BC">
        <w:rPr>
          <w:rFonts w:ascii="Calibri" w:hAnsi="Calibri" w:eastAsia="Calibri" w:cs="Calibri"/>
          <w:noProof w:val="0"/>
          <w:color w:val="000000" w:themeColor="text1" w:themeTint="FF" w:themeShade="FF"/>
          <w:sz w:val="20"/>
          <w:szCs w:val="20"/>
          <w:lang w:val="en-US"/>
        </w:rPr>
        <w:t>organisations</w:t>
      </w:r>
      <w:proofErr w:type="spellEnd"/>
      <w:r w:rsidRPr="422017DA" w:rsidR="4AB3C2BC">
        <w:rPr>
          <w:rFonts w:ascii="Calibri" w:hAnsi="Calibri" w:eastAsia="Calibri" w:cs="Calibri"/>
          <w:noProof w:val="0"/>
          <w:color w:val="000000" w:themeColor="text1" w:themeTint="FF" w:themeShade="FF"/>
          <w:sz w:val="20"/>
          <w:szCs w:val="20"/>
          <w:lang w:val="en-US"/>
        </w:rPr>
        <w:t xml:space="preserve"> that prepared or contributed to the social and environmental assessment; (ii) References – setting out the written materials both published and unpublished, that have been used; (iii) Record of meetings, consultations and surveys with stakeholders, including those with affected people and local NGOs. The record specifies the means of such stakeholder engagement that were used to obtain the views of affected groups and local NGOs, summarizes key concerns and how these concerns addressed in project design and mitigation measures; (iv) Tables presenting the relevant data referred to or summarized in the main text; (v) Attachment of any other mitigation plans; (vi) List of associated reports or plans.</w:t>
      </w:r>
    </w:p>
    <w:p w:rsidR="422017DA" w:rsidP="422017DA" w:rsidRDefault="422017DA" w14:paraId="53530C45" w14:textId="28C50D5E">
      <w:pPr>
        <w:pStyle w:val="Normal"/>
        <w:jc w:val="both"/>
      </w:pPr>
    </w:p>
    <w:sectPr w:rsidRPr="00A22B6C" w:rsidR="00B10E91" w:rsidSect="00E33A2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2B70" w:rsidP="00A22B6C" w:rsidRDefault="00102B70" w14:paraId="43F2DD62" w14:textId="77777777">
      <w:pPr>
        <w:spacing w:before="0" w:after="0" w:line="240" w:lineRule="auto"/>
      </w:pPr>
      <w:r>
        <w:separator/>
      </w:r>
    </w:p>
  </w:endnote>
  <w:endnote w:type="continuationSeparator" w:id="0">
    <w:p w:rsidR="00102B70" w:rsidP="00A22B6C" w:rsidRDefault="00102B70" w14:paraId="12A0BDFF"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2B70" w:rsidP="00A22B6C" w:rsidRDefault="00102B70" w14:paraId="171E59D2" w14:textId="77777777">
      <w:pPr>
        <w:spacing w:before="0" w:after="0" w:line="240" w:lineRule="auto"/>
      </w:pPr>
      <w:r>
        <w:separator/>
      </w:r>
    </w:p>
  </w:footnote>
  <w:footnote w:type="continuationSeparator" w:id="0">
    <w:p w:rsidR="00102B70" w:rsidP="00A22B6C" w:rsidRDefault="00102B70" w14:paraId="7D9F56B1" w14:textId="777777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E25C39"/>
    <w:multiLevelType w:val="multilevel"/>
    <w:tmpl w:val="04090025"/>
    <w:lvl w:ilvl="0">
      <w:start w:val="1"/>
      <w:numFmt w:val="decimal"/>
      <w:pStyle w:val="Heading1"/>
      <w:lvlText w:val="%1"/>
      <w:lvlJc w:val="left"/>
      <w:pPr>
        <w:ind w:left="882" w:hanging="432"/>
      </w:pPr>
    </w:lvl>
    <w:lvl w:ilvl="1">
      <w:start w:val="1"/>
      <w:numFmt w:val="decimal"/>
      <w:pStyle w:val="Heading2"/>
      <w:lvlText w:val="%1.%2"/>
      <w:lvlJc w:val="left"/>
      <w:pPr>
        <w:ind w:left="4266" w:hanging="576"/>
      </w:pPr>
    </w:lvl>
    <w:lvl w:ilvl="2">
      <w:start w:val="1"/>
      <w:numFmt w:val="decimal"/>
      <w:pStyle w:val="Heading3"/>
      <w:lvlText w:val="%1.%2.%3"/>
      <w:lvlJc w:val="left"/>
      <w:pPr>
        <w:ind w:left="117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458" w:hanging="1008"/>
      </w:pPr>
    </w:lvl>
    <w:lvl w:ilvl="5">
      <w:start w:val="1"/>
      <w:numFmt w:val="decimal"/>
      <w:pStyle w:val="Heading6"/>
      <w:lvlText w:val="%1.%2.%3.%4.%5.%6"/>
      <w:lvlJc w:val="left"/>
      <w:pPr>
        <w:ind w:left="1602" w:hanging="1152"/>
      </w:pPr>
    </w:lvl>
    <w:lvl w:ilvl="6">
      <w:start w:val="1"/>
      <w:numFmt w:val="decimal"/>
      <w:pStyle w:val="Heading7"/>
      <w:lvlText w:val="%1.%2.%3.%4.%5.%6.%7"/>
      <w:lvlJc w:val="left"/>
      <w:pPr>
        <w:ind w:left="1746" w:hanging="1296"/>
      </w:pPr>
    </w:lvl>
    <w:lvl w:ilvl="7">
      <w:start w:val="1"/>
      <w:numFmt w:val="decimal"/>
      <w:pStyle w:val="Heading8"/>
      <w:lvlText w:val="%1.%2.%3.%4.%5.%6.%7.%8"/>
      <w:lvlJc w:val="left"/>
      <w:pPr>
        <w:ind w:left="1890" w:hanging="1440"/>
      </w:pPr>
    </w:lvl>
    <w:lvl w:ilvl="8">
      <w:start w:val="1"/>
      <w:numFmt w:val="decimal"/>
      <w:pStyle w:val="Heading9"/>
      <w:lvlText w:val="%1.%2.%3.%4.%5.%6.%7.%8.%9"/>
      <w:lvlJc w:val="left"/>
      <w:pPr>
        <w:ind w:left="203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6C"/>
    <w:rsid w:val="00102B70"/>
    <w:rsid w:val="003B3C67"/>
    <w:rsid w:val="0056510F"/>
    <w:rsid w:val="005E0106"/>
    <w:rsid w:val="00631DB8"/>
    <w:rsid w:val="007C084C"/>
    <w:rsid w:val="00A22B6C"/>
    <w:rsid w:val="00BA6DEE"/>
    <w:rsid w:val="00E33A24"/>
    <w:rsid w:val="00F6755D"/>
    <w:rsid w:val="00F85F6A"/>
    <w:rsid w:val="422017DA"/>
    <w:rsid w:val="4AB3C2BC"/>
    <w:rsid w:val="7067E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D35831"/>
  <w15:chartTrackingRefBased/>
  <w15:docId w15:val="{1920A8A2-04FA-2549-BA27-8634398E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cs="Frutiger 45 Light" w:eastAsiaTheme="minorHAnsi"/>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2B6C"/>
    <w:pPr>
      <w:spacing w:before="120" w:after="120" w:line="260" w:lineRule="exact"/>
    </w:pPr>
    <w:rPr>
      <w:rFonts w:asciiTheme="majorHAnsi" w:hAnsiTheme="majorHAnsi" w:eastAsiaTheme="minorEastAsia" w:cstheme="minorBidi"/>
      <w:sz w:val="20"/>
      <w:szCs w:val="24"/>
      <w:lang w:eastAsia="ja-JP"/>
    </w:rPr>
  </w:style>
  <w:style w:type="paragraph" w:styleId="Heading1">
    <w:name w:val="heading 1"/>
    <w:basedOn w:val="Normal"/>
    <w:next w:val="Normal"/>
    <w:link w:val="Heading1Char"/>
    <w:uiPriority w:val="9"/>
    <w:qFormat/>
    <w:rsid w:val="00A22B6C"/>
    <w:pPr>
      <w:keepNext/>
      <w:keepLines/>
      <w:numPr>
        <w:numId w:val="1"/>
      </w:numPr>
      <w:tabs>
        <w:tab w:val="left" w:pos="450"/>
      </w:tabs>
      <w:spacing w:before="480" w:after="240" w:line="320" w:lineRule="exact"/>
      <w:outlineLvl w:val="0"/>
    </w:pPr>
    <w:rPr>
      <w:rFonts w:eastAsiaTheme="majorEastAsia" w:cstheme="majorBidi"/>
      <w:b/>
      <w:bCs/>
      <w:color w:val="2D4F8E" w:themeColor="accent1" w:themeShade="B5"/>
      <w:sz w:val="32"/>
      <w:szCs w:val="32"/>
    </w:rPr>
  </w:style>
  <w:style w:type="paragraph" w:styleId="Heading2">
    <w:name w:val="heading 2"/>
    <w:basedOn w:val="Normal"/>
    <w:next w:val="Normal"/>
    <w:link w:val="Heading2Char"/>
    <w:qFormat/>
    <w:rsid w:val="00A22B6C"/>
    <w:pPr>
      <w:keepNext/>
      <w:numPr>
        <w:ilvl w:val="1"/>
        <w:numId w:val="1"/>
      </w:numPr>
      <w:tabs>
        <w:tab w:val="left" w:pos="540"/>
      </w:tabs>
      <w:spacing w:before="240" w:line="240" w:lineRule="auto"/>
      <w:outlineLvl w:val="1"/>
    </w:pPr>
    <w:rPr>
      <w:rFonts w:eastAsia="SimSun" w:cs="Arial"/>
      <w:b/>
      <w:bCs/>
      <w:iCs/>
      <w:color w:val="4472C4" w:themeColor="accent1"/>
      <w:sz w:val="26"/>
      <w:szCs w:val="26"/>
      <w:lang w:eastAsia="zh-CN"/>
    </w:rPr>
  </w:style>
  <w:style w:type="paragraph" w:styleId="Heading3">
    <w:name w:val="heading 3"/>
    <w:basedOn w:val="Normal"/>
    <w:next w:val="Normal"/>
    <w:link w:val="Heading3Char"/>
    <w:uiPriority w:val="9"/>
    <w:qFormat/>
    <w:rsid w:val="00A22B6C"/>
    <w:pPr>
      <w:keepNext/>
      <w:numPr>
        <w:ilvl w:val="2"/>
        <w:numId w:val="1"/>
      </w:numPr>
      <w:tabs>
        <w:tab w:val="left" w:pos="360"/>
      </w:tabs>
      <w:spacing w:before="240" w:line="240" w:lineRule="auto"/>
      <w:outlineLvl w:val="2"/>
    </w:pPr>
    <w:rPr>
      <w:rFonts w:eastAsia="SimSun" w:cs="Times New Roman"/>
      <w:b/>
      <w:bCs/>
      <w:color w:val="4472C4" w:themeColor="accent1"/>
      <w:sz w:val="22"/>
      <w:szCs w:val="22"/>
      <w:lang w:eastAsia="zh-CN"/>
    </w:rPr>
  </w:style>
  <w:style w:type="paragraph" w:styleId="Heading4">
    <w:name w:val="heading 4"/>
    <w:basedOn w:val="Normal"/>
    <w:next w:val="Normal"/>
    <w:link w:val="Heading4Char"/>
    <w:uiPriority w:val="9"/>
    <w:unhideWhenUsed/>
    <w:qFormat/>
    <w:rsid w:val="00A22B6C"/>
    <w:pPr>
      <w:keepNext/>
      <w:keepLines/>
      <w:numPr>
        <w:ilvl w:val="3"/>
        <w:numId w:val="1"/>
      </w:numPr>
      <w:spacing w:before="200"/>
      <w:outlineLvl w:val="3"/>
    </w:pPr>
    <w:rPr>
      <w:rFonts w:eastAsiaTheme="majorEastAsia" w:cstheme="majorBidi"/>
      <w:b/>
      <w:bCs/>
      <w:iCs/>
      <w:u w:val="single"/>
    </w:rPr>
  </w:style>
  <w:style w:type="paragraph" w:styleId="Heading5">
    <w:name w:val="heading 5"/>
    <w:basedOn w:val="Normal"/>
    <w:next w:val="Normal"/>
    <w:link w:val="Heading5Char"/>
    <w:qFormat/>
    <w:rsid w:val="00A22B6C"/>
    <w:pPr>
      <w:numPr>
        <w:ilvl w:val="4"/>
        <w:numId w:val="1"/>
      </w:numPr>
      <w:spacing w:before="240" w:after="60"/>
      <w:jc w:val="both"/>
      <w:outlineLvl w:val="4"/>
    </w:pPr>
    <w:rPr>
      <w:rFonts w:ascii="Arial" w:hAnsi="Arial" w:eastAsia="SimSun" w:cs="Times New Roman"/>
      <w:b/>
      <w:bCs/>
      <w:i/>
      <w:iCs/>
      <w:sz w:val="26"/>
      <w:szCs w:val="26"/>
      <w:lang w:eastAsia="zh-CN"/>
    </w:rPr>
  </w:style>
  <w:style w:type="paragraph" w:styleId="Heading6">
    <w:name w:val="heading 6"/>
    <w:basedOn w:val="Normal"/>
    <w:next w:val="Normal"/>
    <w:link w:val="Heading6Char"/>
    <w:qFormat/>
    <w:rsid w:val="00A22B6C"/>
    <w:pPr>
      <w:numPr>
        <w:ilvl w:val="5"/>
        <w:numId w:val="1"/>
      </w:numPr>
      <w:spacing w:before="240" w:after="60"/>
      <w:jc w:val="both"/>
      <w:outlineLvl w:val="5"/>
    </w:pPr>
    <w:rPr>
      <w:rFonts w:ascii="Times New Roman" w:hAnsi="Times New Roman" w:eastAsia="SimSun" w:cs="Times New Roman"/>
      <w:b/>
      <w:bCs/>
      <w:sz w:val="22"/>
      <w:szCs w:val="22"/>
      <w:lang w:eastAsia="zh-CN"/>
    </w:rPr>
  </w:style>
  <w:style w:type="paragraph" w:styleId="Heading7">
    <w:name w:val="heading 7"/>
    <w:basedOn w:val="Normal"/>
    <w:next w:val="Normal"/>
    <w:link w:val="Heading7Char"/>
    <w:qFormat/>
    <w:rsid w:val="00A22B6C"/>
    <w:pPr>
      <w:numPr>
        <w:ilvl w:val="6"/>
        <w:numId w:val="1"/>
      </w:numPr>
      <w:spacing w:before="240" w:after="60"/>
      <w:jc w:val="both"/>
      <w:outlineLvl w:val="6"/>
    </w:pPr>
    <w:rPr>
      <w:rFonts w:ascii="Times New Roman" w:hAnsi="Times New Roman" w:eastAsia="SimSun" w:cs="Times New Roman"/>
      <w:sz w:val="24"/>
      <w:lang w:eastAsia="zh-CN"/>
    </w:rPr>
  </w:style>
  <w:style w:type="paragraph" w:styleId="Heading8">
    <w:name w:val="heading 8"/>
    <w:basedOn w:val="Normal"/>
    <w:next w:val="Normal"/>
    <w:link w:val="Heading8Char"/>
    <w:qFormat/>
    <w:rsid w:val="00A22B6C"/>
    <w:pPr>
      <w:numPr>
        <w:ilvl w:val="7"/>
        <w:numId w:val="1"/>
      </w:numPr>
      <w:spacing w:before="240" w:after="60"/>
      <w:jc w:val="both"/>
      <w:outlineLvl w:val="7"/>
    </w:pPr>
    <w:rPr>
      <w:rFonts w:ascii="Times New Roman" w:hAnsi="Times New Roman" w:eastAsia="SimSun" w:cs="Times New Roman"/>
      <w:i/>
      <w:iCs/>
      <w:sz w:val="24"/>
      <w:lang w:eastAsia="zh-CN"/>
    </w:rPr>
  </w:style>
  <w:style w:type="paragraph" w:styleId="Heading9">
    <w:name w:val="heading 9"/>
    <w:basedOn w:val="Normal"/>
    <w:next w:val="Normal"/>
    <w:link w:val="Heading9Char"/>
    <w:qFormat/>
    <w:rsid w:val="00A22B6C"/>
    <w:pPr>
      <w:numPr>
        <w:ilvl w:val="8"/>
        <w:numId w:val="1"/>
      </w:numPr>
      <w:spacing w:before="240" w:after="60"/>
      <w:jc w:val="both"/>
      <w:outlineLvl w:val="8"/>
    </w:pPr>
    <w:rPr>
      <w:rFonts w:ascii="Arial" w:hAnsi="Arial" w:eastAsia="SimSun" w:cs="Arial"/>
      <w:sz w:val="22"/>
      <w:szCs w:val="22"/>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2B6C"/>
    <w:rPr>
      <w:rFonts w:asciiTheme="majorHAnsi" w:hAnsiTheme="majorHAnsi" w:eastAsiaTheme="majorEastAsia" w:cstheme="majorBidi"/>
      <w:b/>
      <w:bCs/>
      <w:color w:val="2D4F8E" w:themeColor="accent1" w:themeShade="B5"/>
      <w:sz w:val="32"/>
      <w:szCs w:val="32"/>
      <w:lang w:eastAsia="ja-JP"/>
    </w:rPr>
  </w:style>
  <w:style w:type="character" w:styleId="Heading2Char" w:customStyle="1">
    <w:name w:val="Heading 2 Char"/>
    <w:basedOn w:val="DefaultParagraphFont"/>
    <w:link w:val="Heading2"/>
    <w:rsid w:val="00A22B6C"/>
    <w:rPr>
      <w:rFonts w:eastAsia="SimSun" w:cs="Arial" w:asciiTheme="majorHAnsi" w:hAnsiTheme="majorHAnsi"/>
      <w:b/>
      <w:bCs/>
      <w:iCs/>
      <w:color w:val="4472C4" w:themeColor="accent1"/>
      <w:sz w:val="26"/>
      <w:szCs w:val="26"/>
      <w:lang w:eastAsia="zh-CN"/>
    </w:rPr>
  </w:style>
  <w:style w:type="character" w:styleId="Heading3Char" w:customStyle="1">
    <w:name w:val="Heading 3 Char"/>
    <w:basedOn w:val="DefaultParagraphFont"/>
    <w:link w:val="Heading3"/>
    <w:uiPriority w:val="9"/>
    <w:rsid w:val="00A22B6C"/>
    <w:rPr>
      <w:rFonts w:eastAsia="SimSun" w:cs="Times New Roman" w:asciiTheme="majorHAnsi" w:hAnsiTheme="majorHAnsi"/>
      <w:b/>
      <w:bCs/>
      <w:color w:val="4472C4" w:themeColor="accent1"/>
      <w:sz w:val="22"/>
      <w:szCs w:val="22"/>
      <w:lang w:eastAsia="zh-CN"/>
    </w:rPr>
  </w:style>
  <w:style w:type="character" w:styleId="Heading4Char" w:customStyle="1">
    <w:name w:val="Heading 4 Char"/>
    <w:basedOn w:val="DefaultParagraphFont"/>
    <w:link w:val="Heading4"/>
    <w:uiPriority w:val="9"/>
    <w:rsid w:val="00A22B6C"/>
    <w:rPr>
      <w:rFonts w:asciiTheme="majorHAnsi" w:hAnsiTheme="majorHAnsi" w:eastAsiaTheme="majorEastAsia" w:cstheme="majorBidi"/>
      <w:b/>
      <w:bCs/>
      <w:iCs/>
      <w:sz w:val="20"/>
      <w:szCs w:val="24"/>
      <w:u w:val="single"/>
      <w:lang w:eastAsia="ja-JP"/>
    </w:rPr>
  </w:style>
  <w:style w:type="character" w:styleId="Heading5Char" w:customStyle="1">
    <w:name w:val="Heading 5 Char"/>
    <w:basedOn w:val="DefaultParagraphFont"/>
    <w:link w:val="Heading5"/>
    <w:rsid w:val="00A22B6C"/>
    <w:rPr>
      <w:rFonts w:eastAsia="SimSun" w:cs="Times New Roman"/>
      <w:b/>
      <w:bCs/>
      <w:i/>
      <w:iCs/>
      <w:sz w:val="26"/>
      <w:szCs w:val="26"/>
      <w:lang w:eastAsia="zh-CN"/>
    </w:rPr>
  </w:style>
  <w:style w:type="character" w:styleId="Heading6Char" w:customStyle="1">
    <w:name w:val="Heading 6 Char"/>
    <w:basedOn w:val="DefaultParagraphFont"/>
    <w:link w:val="Heading6"/>
    <w:rsid w:val="00A22B6C"/>
    <w:rPr>
      <w:rFonts w:ascii="Times New Roman" w:hAnsi="Times New Roman" w:eastAsia="SimSun" w:cs="Times New Roman"/>
      <w:b/>
      <w:bCs/>
      <w:sz w:val="22"/>
      <w:szCs w:val="22"/>
      <w:lang w:eastAsia="zh-CN"/>
    </w:rPr>
  </w:style>
  <w:style w:type="character" w:styleId="Heading7Char" w:customStyle="1">
    <w:name w:val="Heading 7 Char"/>
    <w:basedOn w:val="DefaultParagraphFont"/>
    <w:link w:val="Heading7"/>
    <w:rsid w:val="00A22B6C"/>
    <w:rPr>
      <w:rFonts w:ascii="Times New Roman" w:hAnsi="Times New Roman" w:eastAsia="SimSun" w:cs="Times New Roman"/>
      <w:sz w:val="24"/>
      <w:szCs w:val="24"/>
      <w:lang w:eastAsia="zh-CN"/>
    </w:rPr>
  </w:style>
  <w:style w:type="character" w:styleId="Heading8Char" w:customStyle="1">
    <w:name w:val="Heading 8 Char"/>
    <w:basedOn w:val="DefaultParagraphFont"/>
    <w:link w:val="Heading8"/>
    <w:rsid w:val="00A22B6C"/>
    <w:rPr>
      <w:rFonts w:ascii="Times New Roman" w:hAnsi="Times New Roman" w:eastAsia="SimSun" w:cs="Times New Roman"/>
      <w:i/>
      <w:iCs/>
      <w:sz w:val="24"/>
      <w:szCs w:val="24"/>
      <w:lang w:eastAsia="zh-CN"/>
    </w:rPr>
  </w:style>
  <w:style w:type="character" w:styleId="Heading9Char" w:customStyle="1">
    <w:name w:val="Heading 9 Char"/>
    <w:basedOn w:val="DefaultParagraphFont"/>
    <w:link w:val="Heading9"/>
    <w:rsid w:val="00A22B6C"/>
    <w:rPr>
      <w:rFonts w:eastAsia="SimSun" w:cs="Arial"/>
      <w:sz w:val="22"/>
      <w:szCs w:val="22"/>
      <w:lang w:eastAsia="zh-CN"/>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
    <w:basedOn w:val="Normal"/>
    <w:link w:val="FootnoteTextChar"/>
    <w:unhideWhenUsed/>
    <w:rsid w:val="00A22B6C"/>
    <w:pPr>
      <w:spacing w:before="0" w:after="60" w:line="240" w:lineRule="auto"/>
    </w:pPr>
    <w:rPr>
      <w:sz w:val="18"/>
    </w:rPr>
  </w:style>
  <w:style w:type="character" w:styleId="FootnoteTextChar" w:customStyle="1">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rsid w:val="00A22B6C"/>
    <w:rPr>
      <w:rFonts w:asciiTheme="majorHAnsi" w:hAnsiTheme="majorHAnsi" w:eastAsiaTheme="minorEastAsia" w:cstheme="minorBidi"/>
      <w:szCs w:val="24"/>
      <w:lang w:eastAsia="ja-JP"/>
    </w:rPr>
  </w:style>
  <w:style w:type="character" w:styleId="FootnoteReference">
    <w:name w:val="footnote reference"/>
    <w:aliases w:val="16 Point,Superscript 6 Point,ftref"/>
    <w:unhideWhenUsed/>
    <w:rsid w:val="00A22B6C"/>
    <w:rPr>
      <w:rFonts w:ascii="Calibri" w:hAnsi="Calibri"/>
      <w:sz w:val="18"/>
      <w:vertAlign w:val="superscript"/>
    </w:rPr>
  </w:style>
  <w:style w:type="character" w:styleId="Hyperlink">
    <w:name w:val="Hyperlink"/>
    <w:basedOn w:val="DefaultParagraphFont"/>
    <w:uiPriority w:val="99"/>
    <w:unhideWhenUsed/>
    <w:rsid w:val="00A22B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889989848960796845d4d587ca518025">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f9d3bcca380c215c7d38af6095c0b664"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Props1.xml><?xml version="1.0" encoding="utf-8"?>
<ds:datastoreItem xmlns:ds="http://schemas.openxmlformats.org/officeDocument/2006/customXml" ds:itemID="{E98DD659-547F-4892-8D73-076E385327C9}"/>
</file>

<file path=customXml/itemProps2.xml><?xml version="1.0" encoding="utf-8"?>
<ds:datastoreItem xmlns:ds="http://schemas.openxmlformats.org/officeDocument/2006/customXml" ds:itemID="{25AFBB6A-EBBB-4312-BD05-CA36E1B17424}"/>
</file>

<file path=customXml/itemProps3.xml><?xml version="1.0" encoding="utf-8"?>
<ds:datastoreItem xmlns:ds="http://schemas.openxmlformats.org/officeDocument/2006/customXml" ds:itemID="{88BD3734-3BE6-49D6-9990-CE4C164EA607}"/>
</file>

<file path=customXml/itemProps4.xml><?xml version="1.0" encoding="utf-8"?>
<ds:datastoreItem xmlns:ds="http://schemas.openxmlformats.org/officeDocument/2006/customXml" ds:itemID="{94443426-1698-448F-97AD-A22437AAF5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Indicative Outline of ESIA Report</dc:title>
  <dc:subject/>
  <dc:creator>Delcio Salu</dc:creator>
  <keywords/>
  <dc:description/>
  <lastModifiedBy>Info Ses</lastModifiedBy>
  <revision>3</revision>
  <dcterms:created xsi:type="dcterms:W3CDTF">2020-12-01T21:03:00.0000000Z</dcterms:created>
  <dcterms:modified xsi:type="dcterms:W3CDTF">2020-12-08T13:28:42.6546426Z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ies>
</file>